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after="156" w:afterLines="50" w:line="300" w:lineRule="auto"/>
        <w:jc w:val="center"/>
        <w:rPr>
          <w:rFonts w:ascii="华文仿宋" w:hAnsi="华文仿宋" w:eastAsia="华文仿宋"/>
          <w:b/>
          <w:sz w:val="24"/>
          <w:szCs w:val="24"/>
        </w:rPr>
      </w:pPr>
    </w:p>
    <w:p>
      <w:pPr>
        <w:snapToGrid w:val="0"/>
        <w:spacing w:before="156" w:beforeLines="50" w:after="156" w:afterLines="50" w:line="300" w:lineRule="auto"/>
        <w:jc w:val="center"/>
        <w:rPr>
          <w:rFonts w:ascii="华文仿宋" w:hAnsi="华文仿宋" w:eastAsia="华文仿宋"/>
          <w:b/>
          <w:sz w:val="24"/>
          <w:szCs w:val="24"/>
        </w:rPr>
      </w:pPr>
      <w:r>
        <w:rPr>
          <w:rFonts w:hint="eastAsia" w:ascii="华文仿宋" w:hAnsi="华文仿宋" w:eastAsia="华文仿宋"/>
          <w:b/>
          <w:sz w:val="24"/>
          <w:szCs w:val="24"/>
        </w:rPr>
        <w:t>遗产继承及分割协议</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jc w:val="right"/>
        <w:rPr>
          <w:rFonts w:ascii="华文仿宋" w:hAnsi="华文仿宋" w:eastAsia="华文仿宋"/>
          <w:kern w:val="0"/>
          <w:sz w:val="24"/>
          <w:szCs w:val="24"/>
        </w:rPr>
      </w:pPr>
      <w:r>
        <w:rPr>
          <w:rFonts w:hint="eastAsia" w:ascii="华文仿宋" w:hAnsi="华文仿宋" w:eastAsia="华文仿宋"/>
          <w:kern w:val="0"/>
          <w:sz w:val="24"/>
          <w:szCs w:val="24"/>
        </w:rPr>
        <w:t>协议签署日期：</w:t>
      </w:r>
      <w:r>
        <w:rPr>
          <w:rFonts w:hint="eastAsia" w:ascii="华文仿宋" w:hAnsi="华文仿宋" w:eastAsia="华文仿宋"/>
          <w:kern w:val="0"/>
          <w:sz w:val="24"/>
          <w:szCs w:val="24"/>
          <w:u w:val="single"/>
        </w:rPr>
        <w:t xml:space="preserve">     </w:t>
      </w:r>
      <w:r>
        <w:rPr>
          <w:rFonts w:hint="eastAsia" w:ascii="华文仿宋" w:hAnsi="华文仿宋" w:eastAsia="华文仿宋"/>
          <w:kern w:val="0"/>
          <w:sz w:val="24"/>
          <w:szCs w:val="24"/>
        </w:rPr>
        <w:t>年</w:t>
      </w:r>
      <w:r>
        <w:rPr>
          <w:rFonts w:hint="eastAsia" w:ascii="华文仿宋" w:hAnsi="华文仿宋" w:eastAsia="华文仿宋"/>
          <w:kern w:val="0"/>
          <w:sz w:val="24"/>
          <w:szCs w:val="24"/>
          <w:u w:val="single"/>
        </w:rPr>
        <w:t xml:space="preserve">   </w:t>
      </w:r>
      <w:r>
        <w:rPr>
          <w:rFonts w:hint="eastAsia" w:ascii="华文仿宋" w:hAnsi="华文仿宋" w:eastAsia="华文仿宋"/>
          <w:kern w:val="0"/>
          <w:sz w:val="24"/>
          <w:szCs w:val="24"/>
        </w:rPr>
        <w:t>月</w:t>
      </w:r>
      <w:r>
        <w:rPr>
          <w:rFonts w:hint="eastAsia" w:ascii="华文仿宋" w:hAnsi="华文仿宋" w:eastAsia="华文仿宋"/>
          <w:kern w:val="0"/>
          <w:sz w:val="24"/>
          <w:szCs w:val="24"/>
          <w:u w:val="single"/>
        </w:rPr>
        <w:t xml:space="preserve">   </w:t>
      </w:r>
      <w:r>
        <w:rPr>
          <w:rFonts w:hint="eastAsia" w:ascii="华文仿宋" w:hAnsi="华文仿宋" w:eastAsia="华文仿宋"/>
          <w:kern w:val="0"/>
          <w:sz w:val="24"/>
          <w:szCs w:val="24"/>
        </w:rPr>
        <w:t>日</w:t>
      </w:r>
    </w:p>
    <w:p>
      <w:pPr>
        <w:snapToGrid w:val="0"/>
        <w:spacing w:before="156" w:beforeLines="50" w:after="156" w:afterLines="50" w:line="300" w:lineRule="auto"/>
        <w:jc w:val="right"/>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甲方：</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与被继承人的关系：</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身份证号：</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通讯地址：</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联系电话：</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乙方：</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与被继承人的关系：</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身份证号：</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通讯地址：</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联系电话：</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丙方：</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与被继承人的关系：</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身份证号：</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通讯地址：</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联系电话：</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丁方：</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与被继承人的关系：</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身份证号：</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通讯地址：</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联系电话：</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rPr>
        <w:t>因【被继承人姓名】不幸离世，【甲】、【乙】、【丙】、【丁】作为继承人，经友好协商，就遗产继承及分配事宜达成如下约定：</w:t>
      </w:r>
    </w:p>
    <w:p>
      <w:pPr>
        <w:pStyle w:val="8"/>
        <w:numPr>
          <w:ilvl w:val="0"/>
          <w:numId w:val="1"/>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遗产的分配和处置（以下如不涉及，请自行删减）</w:t>
      </w:r>
    </w:p>
    <w:p>
      <w:pPr>
        <w:pStyle w:val="8"/>
        <w:numPr>
          <w:ilvl w:val="0"/>
          <w:numId w:val="2"/>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房产：</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房产一：房产证号为：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，坐落于：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市</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路</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小区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号楼</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层</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室。该房产的处置方式如下：</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□房产转让至【甲】名下，由其单独所有，不涉及对其他方的折价补偿；</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□根据房屋届时的市场估价，将房价估值金额等分为【】份，由【甲】、【乙】、【丙】、【丁】各占一份；房屋转让至【甲】名下，由【甲】向【乙】、【丙】、【丁】支付其所占的房屋估值份额。 房屋估价金额由【甲乙丙丁】协商确定。前述款项的支付时间为：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□房产转让至【甲】名下，由【甲】向【乙】、【丙】、【丁】分别支付人民币【】元、【】元、【】元。前述款项的支付时间为：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房产二：（略）</w:t>
      </w:r>
    </w:p>
    <w:p>
      <w:pPr>
        <w:pStyle w:val="8"/>
        <w:numPr>
          <w:ilvl w:val="0"/>
          <w:numId w:val="2"/>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车辆：</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车辆一：车牌号为：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，品牌型号为：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。该车辆的处置方式如下：</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□车辆转让至【甲】名下，由其单独所有，不涉及对其他方的折价补偿；</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□根据车辆届时的市场估价，将车辆估值金额等分为【】份，由【甲】、【乙】、【丙】、【丁】各占一份；车辆转让至【甲】名下，由【甲】向【乙】、【丙】、【丁】支付其所占的房屋估值份额。 房屋估价金额由【甲乙丙丁】协商确定。前述款项的支付时间为：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□房产转让至【甲】名下，由【甲】向【乙】、【丙】、【丁】分别支付人民币【】元、【】元、【】元。前述款项的支付时间为：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车辆二：（略）</w:t>
      </w:r>
    </w:p>
    <w:p>
      <w:pPr>
        <w:pStyle w:val="8"/>
        <w:numPr>
          <w:ilvl w:val="0"/>
          <w:numId w:val="2"/>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公司股权：</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公司股权一：标的公司为：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，持股数量为：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，持股比例为：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，该股权的处置方式如下：</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□股权转让至【甲】名下，由其单独所有，不涉及对其他方的折价补偿；</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□根据股权届时的估值，将估值金额等分为【】份，由【甲】、【乙】、【丙】、【丁】各占一份；股权转让至【甲】名下，由【甲】向【乙】、【丙】、【丁】支付其所占的股权估值份额。 股权估值金额由【甲乙丙丁】协商确定。前述款项的支付时间为：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□股权转让至【甲】名下，由【甲】向【乙】、【丙】、【丁】分别支付人民币【】元、【】元、【】元。前述款项的支付时间为：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公司股权二：（略）</w:t>
      </w:r>
    </w:p>
    <w:p>
      <w:pPr>
        <w:pStyle w:val="8"/>
        <w:numPr>
          <w:ilvl w:val="0"/>
          <w:numId w:val="2"/>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存款：</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存款一，金额：</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；银行</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；账户：</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存款二，金额：</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；银行</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；账户：</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存款三，金额：</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；银行</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；账户：</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上述存款的处置方式如下：</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【甲】、【乙】、【丙】、【丁】按照比例：【             】进行分配。</w:t>
      </w:r>
    </w:p>
    <w:p>
      <w:pPr>
        <w:pStyle w:val="8"/>
        <w:numPr>
          <w:ilvl w:val="0"/>
          <w:numId w:val="2"/>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债权：</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债权一，债务人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（身份证号码：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；联系方式：</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年</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月</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日向本人借款人民币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圆），约定还款日为于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年</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月</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日，担保人为：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；见证人为：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债权二，债务人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（身份证号码：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；联系方式：</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年</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月</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日向本人借款人民币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圆），约定还款日为于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年</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月</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日，担保人为：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；见证人为：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上述债权经收回后，由【甲】、【乙】、【丙】、【丁】按照比例：【             】进行分配。</w:t>
      </w:r>
    </w:p>
    <w:p>
      <w:pPr>
        <w:pStyle w:val="8"/>
        <w:numPr>
          <w:ilvl w:val="0"/>
          <w:numId w:val="2"/>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股票、基金、债券、理财产品、保险：</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股票一，股票名称及代码：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；股票账户号：</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股票二，股票名称及代码：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；股票账户号：</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基金一，基金全称及代码：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；基金购买渠道：</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基金二，基金全称及代码：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；基金购买渠道：</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债券一，债券名称：</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；购买渠道：</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债券二，债券名称：</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；购买渠道：</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理财产品一，金额：</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；购买渠道：</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理财产品二，金额：</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；购买渠道：</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保险一，保险公司：</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保险二，保险公司：</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上述资产的处置方式如下：</w:t>
      </w:r>
    </w:p>
    <w:p>
      <w:pPr>
        <w:pStyle w:val="8"/>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上述资产经变现后，由【甲】、【乙】、【丙】、【丁】按照比例：【             】进行分配。</w:t>
      </w:r>
    </w:p>
    <w:p>
      <w:pPr>
        <w:pStyle w:val="8"/>
        <w:numPr>
          <w:ilvl w:val="0"/>
          <w:numId w:val="2"/>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首饰、字画、生活用品等其他各项资产：</w:t>
      </w:r>
    </w:p>
    <w:p>
      <w:pPr>
        <w:snapToGrid w:val="0"/>
        <w:spacing w:before="156" w:beforeLines="50" w:after="156" w:afterLines="50" w:line="300" w:lineRule="auto"/>
        <w:ind w:left="420"/>
        <w:rPr>
          <w:rFonts w:ascii="华文仿宋" w:hAnsi="华文仿宋" w:eastAsia="华文仿宋"/>
          <w:sz w:val="24"/>
          <w:szCs w:val="24"/>
        </w:rPr>
      </w:pPr>
      <w:r>
        <w:rPr>
          <w:rFonts w:hint="eastAsia" w:ascii="华文仿宋" w:hAnsi="华文仿宋" w:eastAsia="华文仿宋"/>
          <w:sz w:val="24"/>
          <w:szCs w:val="24"/>
        </w:rPr>
        <w:t>资产具体信息：（略）</w:t>
      </w:r>
    </w:p>
    <w:p>
      <w:pPr>
        <w:snapToGrid w:val="0"/>
        <w:spacing w:before="156" w:beforeLines="50" w:after="156" w:afterLines="50" w:line="300" w:lineRule="auto"/>
        <w:ind w:left="420"/>
        <w:rPr>
          <w:rFonts w:ascii="华文仿宋" w:hAnsi="华文仿宋" w:eastAsia="华文仿宋"/>
          <w:sz w:val="24"/>
          <w:szCs w:val="24"/>
        </w:rPr>
      </w:pPr>
      <w:r>
        <w:rPr>
          <w:rFonts w:hint="eastAsia" w:ascii="华文仿宋" w:hAnsi="华文仿宋" w:eastAsia="华文仿宋"/>
          <w:sz w:val="24"/>
          <w:szCs w:val="24"/>
        </w:rPr>
        <w:t>资产处置方式：（略）</w:t>
      </w:r>
    </w:p>
    <w:p>
      <w:pPr>
        <w:pStyle w:val="8"/>
        <w:numPr>
          <w:ilvl w:val="0"/>
          <w:numId w:val="1"/>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账户信息</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协议各方的账户信息如下：</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甲方：</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开 户 行：</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账户名称：</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    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 xml:space="preserve">乙方：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开 户 行：</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账户名称：</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u w:val="single"/>
        </w:rPr>
      </w:pPr>
      <w:r>
        <w:rPr>
          <w:rFonts w:hint="eastAsia" w:ascii="华文仿宋" w:hAnsi="华文仿宋" w:eastAsia="华文仿宋"/>
          <w:sz w:val="24"/>
          <w:szCs w:val="24"/>
        </w:rPr>
        <w:t>账    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 xml:space="preserve">丙方：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开 户 行：</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账户名称：</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    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 xml:space="preserve">丁方：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开 户 行：</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账户名称：</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    号：</w:t>
      </w:r>
      <w:r>
        <w:rPr>
          <w:rFonts w:hint="eastAsia" w:ascii="华文仿宋" w:hAnsi="华文仿宋" w:eastAsia="华文仿宋"/>
          <w:sz w:val="24"/>
          <w:szCs w:val="24"/>
          <w:u w:val="single"/>
        </w:rPr>
        <w:t xml:space="preserve">                        </w:t>
      </w:r>
    </w:p>
    <w:p>
      <w:pPr>
        <w:pStyle w:val="8"/>
        <w:numPr>
          <w:ilvl w:val="0"/>
          <w:numId w:val="1"/>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违约责任</w:t>
      </w:r>
    </w:p>
    <w:p>
      <w:pPr>
        <w:pStyle w:val="8"/>
        <w:numPr>
          <w:ilvl w:val="0"/>
          <w:numId w:val="3"/>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任何一方未履行本协议项下的任何一项条款均被视为违约。违约方应承担因自己的违约行为而给守约方造成的损失。</w:t>
      </w:r>
    </w:p>
    <w:p>
      <w:pPr>
        <w:pStyle w:val="8"/>
        <w:numPr>
          <w:ilvl w:val="0"/>
          <w:numId w:val="3"/>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本协议所称之损失包括实际损失和协议履行后可以获得的利益、诉讼或仲裁费用、以及合理的调查费、律师费等相关法律费用。</w:t>
      </w:r>
    </w:p>
    <w:p>
      <w:pPr>
        <w:pStyle w:val="8"/>
        <w:numPr>
          <w:ilvl w:val="0"/>
          <w:numId w:val="1"/>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不可抗力</w:t>
      </w:r>
    </w:p>
    <w:p>
      <w:pPr>
        <w:pStyle w:val="8"/>
        <w:numPr>
          <w:ilvl w:val="0"/>
          <w:numId w:val="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本协议中“不可抗力”，指不能预知、无法避免并不能克服的事件，包括但不限于地震、台风、洪水、火灾、战争或商事惯例认可的其他事件。</w:t>
      </w:r>
    </w:p>
    <w:p>
      <w:pPr>
        <w:pStyle w:val="8"/>
        <w:numPr>
          <w:ilvl w:val="0"/>
          <w:numId w:val="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由于不可抗力事件，致使一方在履行其在履行本协议项下的义务的过程中遇到障碍或延误，不能按规定的条款全部或部分履行其义务的，遇到不可抗力的一方（“受阻方”），只要满足下列所有条件，不应视为违反本协议：</w:t>
      </w:r>
    </w:p>
    <w:p>
      <w:pPr>
        <w:pStyle w:val="8"/>
        <w:numPr>
          <w:ilvl w:val="0"/>
          <w:numId w:val="5"/>
        </w:numPr>
        <w:snapToGrid w:val="0"/>
        <w:spacing w:before="156" w:beforeLines="50" w:after="156" w:afterLines="50" w:line="300" w:lineRule="auto"/>
        <w:ind w:left="851" w:hanging="425" w:firstLineChars="0"/>
        <w:rPr>
          <w:rFonts w:ascii="华文仿宋" w:hAnsi="华文仿宋" w:eastAsia="华文仿宋"/>
          <w:sz w:val="24"/>
          <w:szCs w:val="24"/>
        </w:rPr>
      </w:pPr>
      <w:r>
        <w:rPr>
          <w:rFonts w:hint="eastAsia" w:ascii="华文仿宋" w:hAnsi="华文仿宋" w:eastAsia="华文仿宋"/>
          <w:sz w:val="24"/>
          <w:szCs w:val="24"/>
        </w:rPr>
        <w:t>受阻方不能全部或部分履行其义务，是由于不可抗力事件直接造成的，且在不可抗力事件发生前受阻方不存在迟延履行相关义务的情形；</w:t>
      </w:r>
    </w:p>
    <w:p>
      <w:pPr>
        <w:pStyle w:val="8"/>
        <w:numPr>
          <w:ilvl w:val="0"/>
          <w:numId w:val="5"/>
        </w:numPr>
        <w:snapToGrid w:val="0"/>
        <w:spacing w:before="156" w:beforeLines="50" w:after="156" w:afterLines="50" w:line="300" w:lineRule="auto"/>
        <w:ind w:left="851" w:hanging="425" w:firstLineChars="0"/>
        <w:rPr>
          <w:rFonts w:ascii="华文仿宋" w:hAnsi="华文仿宋" w:eastAsia="华文仿宋"/>
          <w:sz w:val="24"/>
          <w:szCs w:val="24"/>
        </w:rPr>
      </w:pPr>
      <w:r>
        <w:rPr>
          <w:rFonts w:hint="eastAsia" w:ascii="华文仿宋" w:hAnsi="华文仿宋" w:eastAsia="华文仿宋"/>
          <w:sz w:val="24"/>
          <w:szCs w:val="24"/>
        </w:rPr>
        <w:t>受阻方已尽最大努力履行其义务并减少由于不可抗力事件给另一方造成的损失；</w:t>
      </w:r>
    </w:p>
    <w:p>
      <w:pPr>
        <w:pStyle w:val="8"/>
        <w:numPr>
          <w:ilvl w:val="0"/>
          <w:numId w:val="5"/>
        </w:numPr>
        <w:snapToGrid w:val="0"/>
        <w:spacing w:before="156" w:beforeLines="50" w:after="156" w:afterLines="50" w:line="300" w:lineRule="auto"/>
        <w:ind w:left="851" w:hanging="425" w:firstLineChars="0"/>
        <w:rPr>
          <w:rFonts w:ascii="华文仿宋" w:hAnsi="华文仿宋" w:eastAsia="华文仿宋"/>
          <w:sz w:val="24"/>
          <w:szCs w:val="24"/>
        </w:rPr>
      </w:pPr>
      <w:r>
        <w:rPr>
          <w:rFonts w:hint="eastAsia" w:ascii="华文仿宋" w:hAnsi="华文仿宋" w:eastAsia="华文仿宋"/>
          <w:sz w:val="24"/>
          <w:szCs w:val="24"/>
        </w:rPr>
        <w:t>不可抗力事件发生时，受阻方已立即通知对方，并在不可抗力事件发生后的十五天内提供有关该事件的书面说明，书面说明中应当包括对延迟履行或部分履行本协议的原因说明。</w:t>
      </w:r>
    </w:p>
    <w:p>
      <w:pPr>
        <w:pStyle w:val="8"/>
        <w:numPr>
          <w:ilvl w:val="0"/>
          <w:numId w:val="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不可抗力事件终止或被排除后，受阻方应继续履行本协议，并应尽快通知另一方。受阻方应可延长履行义务的时间，延长期应当相当于不可抗力事件实际造成延误的时间。</w:t>
      </w:r>
    </w:p>
    <w:p>
      <w:pPr>
        <w:pStyle w:val="8"/>
        <w:numPr>
          <w:ilvl w:val="0"/>
          <w:numId w:val="4"/>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如果不可抗力事件的影响持续达三十日或以上时，各方应根据该事件对本协议履行的影响程度协商对本协议予以修改或终止。如果一方发出书面协商通知之日起十日内各方无法就此达成一致，任何一方均有权解除本协议而无需承担违约责任。</w:t>
      </w:r>
    </w:p>
    <w:p>
      <w:pPr>
        <w:pStyle w:val="8"/>
        <w:numPr>
          <w:ilvl w:val="0"/>
          <w:numId w:val="1"/>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适用法律与争议解决</w:t>
      </w:r>
    </w:p>
    <w:p>
      <w:pPr>
        <w:pStyle w:val="8"/>
        <w:numPr>
          <w:ilvl w:val="0"/>
          <w:numId w:val="6"/>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本协议的成立、效力、解释、履行、签署、修订和终止以及争议的解决均应适用【】法律。</w:t>
      </w:r>
    </w:p>
    <w:p>
      <w:pPr>
        <w:pStyle w:val="8"/>
        <w:numPr>
          <w:ilvl w:val="0"/>
          <w:numId w:val="6"/>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因本协议引起或者与本协议有关的任何争议，各方应首先以协商方式解决。协商应在一方向另一方送达关于协商的书面要求后立即开始；如果十日内各方未能通过协商解除争议，的则各方同意按照以下第【】种方式解决：</w:t>
      </w:r>
    </w:p>
    <w:p>
      <w:pPr>
        <w:pStyle w:val="8"/>
        <w:numPr>
          <w:ilvl w:val="0"/>
          <w:numId w:val="7"/>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因本协议引起或与本协议有关的任何争议，各方同意将争议提交有管辖权的人民法院解决。</w:t>
      </w:r>
    </w:p>
    <w:p>
      <w:pPr>
        <w:pStyle w:val="8"/>
        <w:numPr>
          <w:ilvl w:val="0"/>
          <w:numId w:val="7"/>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因本协议引起或与本协议有关的任何争议，均提请【】仲裁委员会按照该会仲裁规则进行仲裁。仲裁裁决是终局的，对各方均有约束力，并可在任何有管辖权的法院或其他有权机构强制执行。除非仲裁裁决有不同规定，败诉方应支付各方因仲裁所发生的一切法律费用，包括但不限于律师费。</w:t>
      </w:r>
    </w:p>
    <w:p>
      <w:pPr>
        <w:pStyle w:val="8"/>
        <w:numPr>
          <w:ilvl w:val="0"/>
          <w:numId w:val="6"/>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诉讼或仲裁进行过程中，除各方有争议的部分外，本协议其他部分仍然有效，各方应继续履行。</w:t>
      </w:r>
    </w:p>
    <w:p>
      <w:pPr>
        <w:pStyle w:val="8"/>
        <w:numPr>
          <w:ilvl w:val="0"/>
          <w:numId w:val="6"/>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每一方同意使用本协议通知与送达条款送达与仲裁或强制执行仲裁裁决有关的传票、通知或其他文件。本协议通知与送达条款中得任何规定均不应影响一方以法律允许的其他方式送达上述传票、通知或其他文件的权利。</w:t>
      </w:r>
    </w:p>
    <w:p>
      <w:pPr>
        <w:pStyle w:val="8"/>
        <w:numPr>
          <w:ilvl w:val="0"/>
          <w:numId w:val="6"/>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本协议全部或部分无效的，本条依然有效。</w:t>
      </w:r>
    </w:p>
    <w:p>
      <w:pPr>
        <w:pStyle w:val="8"/>
        <w:numPr>
          <w:ilvl w:val="0"/>
          <w:numId w:val="1"/>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附件条款</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协议附件（如有）为本协议的组成部分，与本协议正文具有同等法律效力。若协议附件与协议正文有冲突，以协议正文为准。</w:t>
      </w:r>
    </w:p>
    <w:p>
      <w:pPr>
        <w:pStyle w:val="8"/>
        <w:numPr>
          <w:ilvl w:val="0"/>
          <w:numId w:val="1"/>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协议生效</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本协议自协议各方签字之日起生效。</w:t>
      </w:r>
    </w:p>
    <w:p>
      <w:pPr>
        <w:pStyle w:val="8"/>
        <w:numPr>
          <w:ilvl w:val="0"/>
          <w:numId w:val="1"/>
        </w:numPr>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其他</w:t>
      </w:r>
    </w:p>
    <w:p>
      <w:pPr>
        <w:pStyle w:val="8"/>
        <w:numPr>
          <w:ilvl w:val="0"/>
          <w:numId w:val="8"/>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协议完整性：本协议包括所有附件及对本协议及其任何附件的各项书面补充、修订或变更。一俟生效，本协议对协议各方均具有约束力，并取代此前就本协议项下各项交易达成或形成的任何口头或书面的协议、备忘录或其他任何文件。</w:t>
      </w:r>
    </w:p>
    <w:p>
      <w:pPr>
        <w:pStyle w:val="8"/>
        <w:numPr>
          <w:ilvl w:val="0"/>
          <w:numId w:val="8"/>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可分割性：如果本协议的任何条款在任何司法管辖区不合法、无效或无法强制执行或成为不合法、无效或无法强制执行，其不应影响：</w:t>
      </w:r>
    </w:p>
    <w:p>
      <w:pPr>
        <w:pStyle w:val="8"/>
        <w:numPr>
          <w:ilvl w:val="0"/>
          <w:numId w:val="9"/>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本协议任何其他条款在该等司法管辖区的有效性或可执行性；或</w:t>
      </w:r>
    </w:p>
    <w:p>
      <w:pPr>
        <w:pStyle w:val="8"/>
        <w:numPr>
          <w:ilvl w:val="0"/>
          <w:numId w:val="9"/>
        </w:numPr>
        <w:snapToGrid w:val="0"/>
        <w:spacing w:before="156" w:beforeLines="50" w:after="156" w:afterLines="50" w:line="300" w:lineRule="auto"/>
        <w:ind w:left="851" w:firstLineChars="0"/>
        <w:rPr>
          <w:rFonts w:ascii="华文仿宋" w:hAnsi="华文仿宋" w:eastAsia="华文仿宋"/>
          <w:sz w:val="24"/>
          <w:szCs w:val="24"/>
        </w:rPr>
      </w:pPr>
      <w:r>
        <w:rPr>
          <w:rFonts w:hint="eastAsia" w:ascii="华文仿宋" w:hAnsi="华文仿宋" w:eastAsia="华文仿宋"/>
          <w:sz w:val="24"/>
          <w:szCs w:val="24"/>
        </w:rPr>
        <w:t>本协议的该等条款或任何其他条款在其它司法管辖区的有效性或可执行性。</w:t>
      </w:r>
    </w:p>
    <w:p>
      <w:pPr>
        <w:pStyle w:val="8"/>
        <w:numPr>
          <w:ilvl w:val="0"/>
          <w:numId w:val="8"/>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法律变化：如因适用法律、法规发生变化导致本协议的任何条款失效、违法或无法执行，各方将立即进行协商，对本协议的相关条款进行修改和补充。</w:t>
      </w:r>
    </w:p>
    <w:p>
      <w:pPr>
        <w:pStyle w:val="8"/>
        <w:numPr>
          <w:ilvl w:val="0"/>
          <w:numId w:val="8"/>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协议修订：本协议未尽事宜，应由各方友好协商解决。如需对本协议及其附件做任何修改或补充，须由各方以书面做出方为有效。修改或补充文件与本协议有不一致的，以修改或补充文件为准。</w:t>
      </w:r>
    </w:p>
    <w:p>
      <w:pPr>
        <w:pStyle w:val="8"/>
        <w:numPr>
          <w:ilvl w:val="0"/>
          <w:numId w:val="8"/>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本协议将保持其效力直至各方已完全履行协议项下的所有义务并且各方之间的所有付款和索赔已结清。</w:t>
      </w:r>
    </w:p>
    <w:p>
      <w:pPr>
        <w:pStyle w:val="8"/>
        <w:numPr>
          <w:ilvl w:val="0"/>
          <w:numId w:val="8"/>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本协议一式【】份，各方各执【】份，具有同等法律效力。</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本协议文本已于本协议首页列明之日由各方授权代表正式签署，以昭信守。</w:t>
      </w:r>
    </w:p>
    <w:p>
      <w:pPr>
        <w:snapToGrid w:val="0"/>
        <w:spacing w:before="156" w:beforeLines="50" w:after="156" w:afterLines="50" w:line="300" w:lineRule="auto"/>
        <w:jc w:val="center"/>
        <w:rPr>
          <w:rFonts w:ascii="华文仿宋" w:hAnsi="华文仿宋" w:eastAsia="华文仿宋"/>
          <w:sz w:val="24"/>
          <w:szCs w:val="24"/>
        </w:rPr>
      </w:pPr>
      <w:r>
        <w:rPr>
          <w:rFonts w:hint="eastAsia" w:ascii="华文仿宋" w:hAnsi="华文仿宋" w:eastAsia="华文仿宋"/>
          <w:sz w:val="24"/>
          <w:szCs w:val="24"/>
        </w:rPr>
        <w:t>（以下无正文，为签字处）</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甲方：</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乙方：</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丙方：</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丁方：</w:t>
      </w:r>
    </w:p>
    <w:p>
      <w:pPr>
        <w:snapToGrid w:val="0"/>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hint="eastAsia" w:ascii="华文仿宋" w:hAnsi="华文仿宋" w:eastAsia="华文仿宋"/>
          <w:sz w:val="24"/>
          <w:szCs w:val="24"/>
        </w:rPr>
      </w:pPr>
    </w:p>
    <w:p>
      <w:pPr>
        <w:snapToGrid w:val="0"/>
        <w:spacing w:before="156" w:beforeLines="50" w:after="156" w:afterLines="50" w:line="300" w:lineRule="auto"/>
        <w:rPr>
          <w:rFonts w:hint="eastAsia" w:ascii="华文仿宋" w:hAnsi="华文仿宋" w:eastAsia="华文仿宋"/>
          <w:sz w:val="24"/>
          <w:szCs w:val="24"/>
        </w:rPr>
      </w:pPr>
    </w:p>
    <w:p>
      <w:pPr>
        <w:snapToGrid w:val="0"/>
        <w:spacing w:before="156" w:beforeLines="50" w:after="156" w:afterLines="50" w:line="300" w:lineRule="auto"/>
        <w:rPr>
          <w:rFonts w:hint="eastAsia" w:ascii="华文仿宋" w:hAnsi="华文仿宋" w:eastAsia="华文仿宋"/>
          <w:sz w:val="24"/>
          <w:szCs w:val="24"/>
        </w:rPr>
      </w:pPr>
    </w:p>
    <w:p>
      <w:pPr>
        <w:snapToGrid w:val="0"/>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lang w:eastAsia="zh-CN"/>
        </w:rPr>
        <w:t>合同的签订时间：</w:t>
      </w:r>
      <w:r>
        <w:rPr>
          <w:rFonts w:hint="eastAsia" w:ascii="华文仿宋" w:hAnsi="华文仿宋" w:eastAsia="华文仿宋"/>
          <w:sz w:val="24"/>
          <w:szCs w:val="24"/>
          <w:u w:val="single"/>
          <w:lang w:val="en-US" w:eastAsia="zh-CN"/>
        </w:rPr>
        <w:t xml:space="preserve">                   </w:t>
      </w:r>
      <w:bookmarkStart w:id="0" w:name="_GoBack"/>
      <w:bookmarkEnd w:id="0"/>
    </w:p>
    <w:p>
      <w:pPr>
        <w:snapToGrid w:val="0"/>
        <w:spacing w:before="156" w:beforeLines="50" w:after="156" w:afterLines="50" w:line="300" w:lineRule="auto"/>
        <w:rPr>
          <w:rFonts w:hint="eastAsia" w:ascii="华文仿宋" w:hAnsi="华文仿宋" w:eastAsia="华文仿宋"/>
          <w:sz w:val="24"/>
          <w:szCs w:val="24"/>
        </w:rPr>
      </w:pPr>
    </w:p>
    <w:p>
      <w:pPr>
        <w:snapToGrid w:val="0"/>
        <w:spacing w:before="156" w:beforeLines="50" w:after="156" w:afterLines="50" w:line="300" w:lineRule="auto"/>
        <w:rPr>
          <w:rFonts w:hint="eastAsia"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63858"/>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C3AC9"/>
    <w:multiLevelType w:val="multilevel"/>
    <w:tmpl w:val="0E4C3AC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3FD752C"/>
    <w:multiLevelType w:val="multilevel"/>
    <w:tmpl w:val="13FD752C"/>
    <w:lvl w:ilvl="0" w:tentative="0">
      <w:start w:val="1"/>
      <w:numFmt w:val="japaneseCounting"/>
      <w:lvlText w:val="第%1条"/>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88447F7"/>
    <w:multiLevelType w:val="multilevel"/>
    <w:tmpl w:val="188447F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EF36A8F"/>
    <w:multiLevelType w:val="multilevel"/>
    <w:tmpl w:val="2EF36A8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04200A5"/>
    <w:multiLevelType w:val="multilevel"/>
    <w:tmpl w:val="304200A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EC64FAE"/>
    <w:multiLevelType w:val="multilevel"/>
    <w:tmpl w:val="4EC64FA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2E96BA8"/>
    <w:multiLevelType w:val="multilevel"/>
    <w:tmpl w:val="52E96BA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8142DAC"/>
    <w:multiLevelType w:val="multilevel"/>
    <w:tmpl w:val="58142DAC"/>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62C6876"/>
    <w:multiLevelType w:val="multilevel"/>
    <w:tmpl w:val="662C687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5"/>
  </w:num>
  <w:num w:numId="4">
    <w:abstractNumId w:val="3"/>
  </w:num>
  <w:num w:numId="5">
    <w:abstractNumId w:val="8"/>
  </w:num>
  <w:num w:numId="6">
    <w:abstractNumId w:val="6"/>
  </w:num>
  <w:num w:numId="7">
    <w:abstractNumId w:val="0"/>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FEA"/>
    <w:rsid w:val="00014042"/>
    <w:rsid w:val="000510FF"/>
    <w:rsid w:val="00061AE4"/>
    <w:rsid w:val="00077445"/>
    <w:rsid w:val="00126CC8"/>
    <w:rsid w:val="00173396"/>
    <w:rsid w:val="00182FDB"/>
    <w:rsid w:val="00195B0D"/>
    <w:rsid w:val="001C6375"/>
    <w:rsid w:val="001F229A"/>
    <w:rsid w:val="002003F7"/>
    <w:rsid w:val="0024602F"/>
    <w:rsid w:val="00252C46"/>
    <w:rsid w:val="00263F29"/>
    <w:rsid w:val="002733B6"/>
    <w:rsid w:val="003353AB"/>
    <w:rsid w:val="0039665D"/>
    <w:rsid w:val="003A3C64"/>
    <w:rsid w:val="003E5D67"/>
    <w:rsid w:val="003F79CB"/>
    <w:rsid w:val="0040096F"/>
    <w:rsid w:val="00442044"/>
    <w:rsid w:val="0046734E"/>
    <w:rsid w:val="00493050"/>
    <w:rsid w:val="00495A00"/>
    <w:rsid w:val="004D49CF"/>
    <w:rsid w:val="0051718A"/>
    <w:rsid w:val="005255DF"/>
    <w:rsid w:val="00526924"/>
    <w:rsid w:val="00541FD4"/>
    <w:rsid w:val="00546539"/>
    <w:rsid w:val="00564A3A"/>
    <w:rsid w:val="005F5335"/>
    <w:rsid w:val="00600510"/>
    <w:rsid w:val="00610D14"/>
    <w:rsid w:val="0063339A"/>
    <w:rsid w:val="0066233E"/>
    <w:rsid w:val="006A1D8B"/>
    <w:rsid w:val="006B769B"/>
    <w:rsid w:val="006D3FF9"/>
    <w:rsid w:val="006F6F7F"/>
    <w:rsid w:val="00700A7C"/>
    <w:rsid w:val="00707BE6"/>
    <w:rsid w:val="00712327"/>
    <w:rsid w:val="00713CB6"/>
    <w:rsid w:val="00751B07"/>
    <w:rsid w:val="00783E9B"/>
    <w:rsid w:val="007B550C"/>
    <w:rsid w:val="007D6C95"/>
    <w:rsid w:val="00824453"/>
    <w:rsid w:val="0086712C"/>
    <w:rsid w:val="008B3D74"/>
    <w:rsid w:val="008B48C0"/>
    <w:rsid w:val="008F0B74"/>
    <w:rsid w:val="008F355D"/>
    <w:rsid w:val="009576AB"/>
    <w:rsid w:val="00957FEA"/>
    <w:rsid w:val="00973A10"/>
    <w:rsid w:val="009A08A4"/>
    <w:rsid w:val="009A79BE"/>
    <w:rsid w:val="009F6FAF"/>
    <w:rsid w:val="00A46B49"/>
    <w:rsid w:val="00AA2D0F"/>
    <w:rsid w:val="00AF5AE1"/>
    <w:rsid w:val="00B1083F"/>
    <w:rsid w:val="00B772F6"/>
    <w:rsid w:val="00B80739"/>
    <w:rsid w:val="00B93DC3"/>
    <w:rsid w:val="00BE0A8C"/>
    <w:rsid w:val="00BE3340"/>
    <w:rsid w:val="00BE3D80"/>
    <w:rsid w:val="00BF6DF0"/>
    <w:rsid w:val="00C10C78"/>
    <w:rsid w:val="00C11B59"/>
    <w:rsid w:val="00C25372"/>
    <w:rsid w:val="00C82116"/>
    <w:rsid w:val="00C97B9A"/>
    <w:rsid w:val="00CF49F7"/>
    <w:rsid w:val="00D07EEC"/>
    <w:rsid w:val="00DD36FF"/>
    <w:rsid w:val="00E023FB"/>
    <w:rsid w:val="00F355C1"/>
    <w:rsid w:val="00F7494D"/>
    <w:rsid w:val="00FF779E"/>
    <w:rsid w:val="46B63EA8"/>
    <w:rsid w:val="63BD54AA"/>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694</Words>
  <Characters>3957</Characters>
  <Lines>32</Lines>
  <Paragraphs>9</Paragraphs>
  <TotalTime>0</TotalTime>
  <ScaleCrop>false</ScaleCrop>
  <LinksUpToDate>false</LinksUpToDate>
  <CharactersWithSpaces>4642</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9</cp:revision>
  <dcterms:created xsi:type="dcterms:W3CDTF">2015-06-08T09:25:00Z</dcterms:created>
  <dcterms:modified xsi:type="dcterms:W3CDTF">2016-05-19T06:30:00Z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